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一百零四十四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4"/>
          <w:szCs w:val="24"/>
        </w:rPr>
      </w:pP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渡江战役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</w:t>
      </w:r>
      <w:bookmarkStart w:id="0" w:name="_GoBack"/>
      <w:bookmarkEnd w:id="0"/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Style w:val="10"/>
          <w:b/>
          <w:bCs/>
          <w:color w:val="FFFFFF"/>
          <w:sz w:val="27"/>
          <w:szCs w:val="27"/>
        </w:rPr>
        <w:t>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渡江战役是解放战争时期中国人民解放军第二野战军、第三野战军和第四野战军一部，在长江中下游强渡长江，对国民党军汤恩伯、白崇禧两集团进行的战略性进攻战役。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1949年2月11日，渡江战役总前委在商丘张菜园村成立。1949年3月23日，刘伯承司令员在商丘先后起草了《渡江作战之研究》、《敌前渡河战术指导》两本渡江教材后，又下达了《关于渡江战术注意事项》的指导性文件，对实施渡江作战规定了十项重要的战术原则，对渡江解放军部队提出了具体的、详尽的要求。1949年4月20日，国民政府最后拒绝在《国内和平协定（最后修正案）》上签字。21日，毛泽东和朱德发布了《向全国进军的命令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1949年4月20日晚和21日，中国人民解放军第二野战军、第三野战军遵照中央军委的命令和总前委的《京沪杭战役实施纲要》，先后发起渡江。在炮兵、工兵的支持配合下，在西起湖口、东至靖江的千里战线上强渡长江，迅速突破国军的江防，占领贵池、铜陵、芜湖和常州、江阴、镇江等城市，彻底摧毁了国民党军的长江防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月23日，中国人民解放军第三野战军一部解放了南京，南京国民政府垮台。接着，各路大军向南挺进，5月3日解放杭州、5月22日解放南昌。1949年5月27日，第三野战军主力攻占上海，上海解放。在此期间，第四野战军于5月14日南渡长江，16日解放汉口，17日解放武昌和汉阳。1949年6月2日，三野一部解放崇明岛，至此，渡江战役结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渡江战役的胜利，为解放军继续前进南进，解放南方各省创造了有利条件。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0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bCs/>
          <w:color w:val="D92142"/>
          <w:sz w:val="32"/>
          <w:szCs w:val="32"/>
          <w:bdr w:val="none" w:color="auto" w:sz="0" w:space="0"/>
        </w:rPr>
        <w:t>战争背景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经过辽沈、淮海、平津三大战役以及在战略决战阶段的其他战役，国民党军大部主力已被歼灭，中国人民解放军已解放东北全境、华北大部、西北一部和长江中下游以北广大地区，各解放区已连成一片。中国人民解放军的总兵力已发展到400万人，士气高昂，装备得到进一步改善，大兵团作战的经验更加丰富，已完全有把握在全国范围内战胜国民党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大战役后，国民党正规军还有71个军227个师的番号约115万人，加上特种兵、机关、学校和地方部队，总兵力为204万人，其中能用于作战的部队为146万人。这些部队，多是新建或被歼后重建的，且分布在从新疆到台湾的广大地区，在战略上已无法组织有效防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蒋介石为了赢得时间，依托长江以南半壁山河重整军力，等待时机东山再起，一方面于1949年1月21日宣布隐退，由副总统李宗仁任“代总统”，并出面提出与中国共产党进行和平谈判；另一方面仍以国民党总裁身份总揽军政大权，积极扩军备战。将京沪警备总司令部扩大为京沪杭警备总司令部，任命汤恩伯为总司令，统一指挥南京、上海两市及江苏、浙江、安徽3省和江西省东部的军事，会同华中“剿匪”总司令部（4月改称华中军政长官公署）白崇禧集团组织长江防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1949年4月，国民党军在宜昌至上海间1800余公里的长江沿线上，共部署了115个师约70万人的兵力。其中，汤恩伯集团75个师约45万人，布防于江西省湖口至上海间800余公里地段上；白崇禧集团40个师约25万人，布防于湖口至宜昌间近千公里地段上。同时，以海军海防第2舰队和江防舰队一部计有军舰26艘、炮艇56艘分驻安庆、芜湖、镇江、上海等地的长江江面，江防舰队主力计舰艇40余艘，分驻宜昌、汉口、九江等地江面，沿江巡弋；空军4个大队计飞机300余架，分置于武汉、南京、上海等地，支援陆军作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此外，美、英等国也各有军舰停泊于上海吴淞口外海面，威胁或伺机阻碍中国人民解放军渡江。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长江，是中国的第一大江，自西向东横贯大陆中部，历来被兵家视为天堑。下游江面宽达2至10余公里，水位在每年4、5月间开始上涨，特别是5月汛期，不仅水位猛涨，而且风大浪高，影响航渡。沿江广阔地域为水网稻田地，河流湖泊较多，不利大兵团行动。防守该地段的汤恩伯集团，除以一部兵力控制若干江心洲及江北据点作为警戒阵地外，以主力18个军54个师沿南岸布防，重点置于南京以东地区，并在纵深控制一定的机动兵力，企图在中国人民解放军渡江时，凭借长江天险，依托既设工事，在海空军支援下，大肆杀伤其于半渡之时或滩头阵地；如江防被突破，则分别撤往上海及浙赣铁路（杭州一株洲）沿线，组织新的防御。其具体兵力部署是：以第8兵团指挥第55、第68、第96军防守湖口至铜陵段；以第7“绥靖”区指挥第20、第66、第88军防守铜陵至马鞍山段，第17兵团所属第106军位于泾县，宁国、太平地区为预备队；以第6兵团及首都卫戍总司令部指挥第28、第45、第99军防守南京及其东西地区；以第1“绥靖”区所属第4、第21、第51、第123军防守镇江至江阴段，第54军位于丹阳、武进地区为预备队；以淞沪警备司令部指挥第37、第52、第75军防守苏州至上海间地区。另以第9编练司令部指挥第73、第74、第85军和第18、第67、第87军共20余个师位于浙赣铁路沿线及浙东地区，担任第2线防御。防守湖口至宜昌段的白崇禧集团，以27个师担任江防，其中以主力第3兵团位于武汉及其以东至九江地区；以13个师位于长沙、南昌之间地区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9" name="图片 2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共中央军委决定以百万大军发起渡江战役，夺取国民政府的政治经济中心南京和上海。1949年2~3月，中共中央军委依据向长江以南进军的既定方针，命令中国人民解放军第二野战军、第三野战军和中原军区、华东军区部队共约100万人，统归由第二野战军司令员刘伯承、政治委员邓小平和第三野战军司令员兼政治委员陈毅、副司令员粟裕、副政治委员谭震林组成的总前委指挥，邓小平为书记，3月14日，中央决定：邓小平任华东局第一书记、华东军区第一政治委员，中国人民解放军准备在5月汛期到来之前，由安庆、芜湖、南京、江阴之线发起渡江作战，歼灭汤恩伯集团，夺取国民政府的政治经济中心南京、上海以及江苏、安徽、浙江省广大地区，并随时准备对付帝国主义可能的武装干涉。同时决定，第四野战军以第12兵团部率第40、第43军约12万人组成先遣兵团，由平（北平）津（天津）地区南下，归第二野战军指挥，攻取信阳，威胁武汉，会同中原军区部队牵制白崇禧集团，策应第二、第三野战军渡江作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依据中央军委的意图和国民党军的部署以及长江中下游地理特点，1949年3月31日，邓小平亲自制定了《京沪杭战役实施纲要》，决定组成东、中、西3个突击集团，采取宽正面、有重点的多路突击的战法，于4月15日在江苏省靖江至安徽省望江段实施渡江作战，首先歼灭沿江防御之敌，尔后向南发展，夺取南京、上海、杭州等城，占领江苏、安徽省南部及浙江全省。其兵力部署是：以第三野战军第8兵团指挥第20、第26、第34、第35军，第10兵团指挥第23、第28、第29、第31军和苏北军区3个独立旅，共35万人组成东突击集团，由粟裕、第三野战军参谋长张震指挥。其中第34、第35军位于江北全椒、仪征、扬州等地并攻占瓜洲、浦口、浦镇，吸引和牵制南京、镇江地区国民党军；主力6个军由三江营（扬中以北）至张黄港（靖江以东）段实施渡江，成功后向京沪铁路（南京—上海）挺进，控制该路一段，阻击南京、镇江的国民党军东逃和上海方向的国民党军西援，并向长兴、吴兴方向发展，会同中突击集团切断京杭公路，封闭南京、镇江地区守军南逃的通路，完成战役合围，尔后协力歼灭被围之敌。以第三野战军第7兵团指挥第21、第22、第24军，第9兵团指挥第25、第27、第30、第33军，共30万人组成中突击集团，由谭震林指挥，在裕溪口（芜湖以北）至枞阳段渡江，成功后以一部兵力歼灭沿江守军，并监视芜湖守军；主力迅速东进，会同东突击集团完成对南京、上海、杭州地区国民党军的包围，尔后各个歼灭被围之敌。第7兵团并准备夺取杭州。为求得中、东两集团行动上的协调，迅速合围南京、镇江地区守军，中突击集团过江后统归粟裕、张震指挥。以第二野战军第3兵团指挥第10、第11、第12军，第4兵团指挥第13、第14、第15军，第5兵团指挥第16、第17、第18军及中原军区部队一部，共35万人组成西突击集团，由刘伯承和第二野战军副政治委员张际春、参谋长李达指挥，由枞阳至望江段实施渡江，成功后以1个兵团挺进浙赣铁路衢州及其以西、以北地区，控制该路一段，切断汤恩伯集团与白崇禧集团的联系；主力沿江东进，接替第9兵团歼灭芜湖守军的任务，并准备参加夺取中国首都南京的作战。4月3日，中央军委批准了上述计划。为了便于部队就粮和避免过分拥挤，4月17日总前委又决定西突击集团过江后，第3、第5兵团直出浙赣铁路沿线，第4兵团执行东进任务。邓小平、陈毅位于合肥以南的瑶岗，代表总前委统一指挥渡江作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00B76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1A4051"/>
    <w:rsid w:val="069C4B31"/>
    <w:rsid w:val="06B1015C"/>
    <w:rsid w:val="0762342D"/>
    <w:rsid w:val="079B7F0E"/>
    <w:rsid w:val="08812686"/>
    <w:rsid w:val="0A253BF6"/>
    <w:rsid w:val="0AA46776"/>
    <w:rsid w:val="0C975FE1"/>
    <w:rsid w:val="0C9F4C8F"/>
    <w:rsid w:val="0D440BB8"/>
    <w:rsid w:val="0D9921F3"/>
    <w:rsid w:val="0E062831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9397F90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5A45321"/>
    <w:rsid w:val="26704463"/>
    <w:rsid w:val="26946CEE"/>
    <w:rsid w:val="26AE77AD"/>
    <w:rsid w:val="28524AFD"/>
    <w:rsid w:val="28BD4AA0"/>
    <w:rsid w:val="28CE3B97"/>
    <w:rsid w:val="2A2B125F"/>
    <w:rsid w:val="2A466E77"/>
    <w:rsid w:val="2B363B79"/>
    <w:rsid w:val="2C182E03"/>
    <w:rsid w:val="2CBC4769"/>
    <w:rsid w:val="2D843E40"/>
    <w:rsid w:val="2EDF1CCE"/>
    <w:rsid w:val="2EFA455B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C78698A"/>
    <w:rsid w:val="4D8F64AC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DD1BF5"/>
    <w:rsid w:val="54FC1B44"/>
    <w:rsid w:val="565A14A3"/>
    <w:rsid w:val="566253F5"/>
    <w:rsid w:val="56AB4F22"/>
    <w:rsid w:val="56F82109"/>
    <w:rsid w:val="585233D5"/>
    <w:rsid w:val="58B66F37"/>
    <w:rsid w:val="592049DD"/>
    <w:rsid w:val="5A202F9A"/>
    <w:rsid w:val="5A5B0891"/>
    <w:rsid w:val="5A61061B"/>
    <w:rsid w:val="5AAE4DBB"/>
    <w:rsid w:val="5B501DE8"/>
    <w:rsid w:val="5BCB5C51"/>
    <w:rsid w:val="5BF52A76"/>
    <w:rsid w:val="5DB96E98"/>
    <w:rsid w:val="5DC75049"/>
    <w:rsid w:val="5EC67831"/>
    <w:rsid w:val="5F384F32"/>
    <w:rsid w:val="611C2867"/>
    <w:rsid w:val="64314A90"/>
    <w:rsid w:val="64D10EB7"/>
    <w:rsid w:val="650F0966"/>
    <w:rsid w:val="669272BB"/>
    <w:rsid w:val="67164BD7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29A75A9"/>
    <w:rsid w:val="730879F6"/>
    <w:rsid w:val="75090698"/>
    <w:rsid w:val="76871880"/>
    <w:rsid w:val="76C570E8"/>
    <w:rsid w:val="77CA75D2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4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2021-09-03T03:33:22Z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